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EAD" w:rsidRPr="00BF368D" w:rsidRDefault="00D23EAD" w:rsidP="00D23EAD">
      <w:pPr>
        <w:jc w:val="center"/>
        <w:rPr>
          <w:b/>
        </w:rPr>
      </w:pPr>
      <w:r w:rsidRPr="00BF368D">
        <w:rPr>
          <w:b/>
        </w:rPr>
        <w:t>Cassidy Richard Instructional Theory</w:t>
      </w:r>
    </w:p>
    <w:p w:rsidR="004D34F5" w:rsidRPr="00BF368D" w:rsidRDefault="00D23EAD" w:rsidP="00D23EAD">
      <w:pPr>
        <w:jc w:val="center"/>
        <w:rPr>
          <w:b/>
        </w:rPr>
      </w:pPr>
      <w:r w:rsidRPr="00BF368D">
        <w:rPr>
          <w:b/>
        </w:rPr>
        <w:t>Version 1</w:t>
      </w:r>
    </w:p>
    <w:p w:rsidR="00D23EAD" w:rsidRDefault="00D23EAD" w:rsidP="00D23EAD"/>
    <w:p w:rsidR="00D23EAD" w:rsidRPr="00BF368D" w:rsidRDefault="00D23EAD" w:rsidP="00D23EAD">
      <w:pPr>
        <w:rPr>
          <w:i/>
        </w:rPr>
      </w:pPr>
      <w:r w:rsidRPr="00BF368D">
        <w:rPr>
          <w:i/>
        </w:rPr>
        <w:t>1. What is the most acceptable evidence that students have learned?</w:t>
      </w:r>
    </w:p>
    <w:p w:rsidR="00D23EAD" w:rsidRDefault="00D23EAD" w:rsidP="00D23EAD">
      <w:r>
        <w:tab/>
      </w:r>
    </w:p>
    <w:p w:rsidR="00D23EAD" w:rsidRDefault="00D23EAD" w:rsidP="00D23EAD">
      <w:r>
        <w:tab/>
        <w:t>Learning is a complex thing that is hard to effectively assess. Tests are a commonly accepted way of assessing understanding of a subject, but due to a wide array of learning and communication styles, they might not be effective for all students. For instance, you may have a child who excels in expressing ideas through written word, and thus will do very well expressing a biological concept or process in a few sentences on a test. Alternatively, you may have a child who understand the idea just as well as the first student, but doesn’t have the necessary language arts skills to express the concept fully. This student might be better at drawing a picture to express his understanding. Finally you may have a student who doesn’t understand the process in question very well at all, but is crafty enough with words and remembers enough terminology to write a compelling answer. All in all, written tests are often used, but maybe not often the most effective way to assess learning.</w:t>
      </w:r>
    </w:p>
    <w:p w:rsidR="00342F6F" w:rsidRDefault="00D23EAD" w:rsidP="00D23EAD">
      <w:r>
        <w:tab/>
        <w:t>A good way that I can think of to assess learning is to have a discussion with a child. If they can carry on a conversation with you about a certain topic, they probably have a good grasp on what you have been trying to teach them, and that indicated that they have learned. To be able to put a lesson into practical use</w:t>
      </w:r>
      <w:r w:rsidR="00342F6F">
        <w:t>,</w:t>
      </w:r>
      <w:r>
        <w:t xml:space="preserve"> like in a verbal or physical demonstration of skills</w:t>
      </w:r>
      <w:r w:rsidR="00342F6F">
        <w:t>,</w:t>
      </w:r>
      <w:r>
        <w:t xml:space="preserve"> might be a good way to</w:t>
      </w:r>
      <w:r w:rsidR="00342F6F">
        <w:t xml:space="preserve"> assess what a student has learned.</w:t>
      </w:r>
    </w:p>
    <w:p w:rsidR="00342F6F" w:rsidRDefault="00342F6F" w:rsidP="00D23EAD"/>
    <w:p w:rsidR="00342F6F" w:rsidRPr="00BF368D" w:rsidRDefault="00342F6F" w:rsidP="00D23EAD">
      <w:pPr>
        <w:rPr>
          <w:i/>
        </w:rPr>
      </w:pPr>
      <w:r w:rsidRPr="00BF368D">
        <w:rPr>
          <w:i/>
        </w:rPr>
        <w:t>2. What are the most effective experiences to enhance learning?</w:t>
      </w:r>
    </w:p>
    <w:p w:rsidR="00342F6F" w:rsidRDefault="00342F6F" w:rsidP="00D23EAD"/>
    <w:p w:rsidR="00D23EAD" w:rsidRDefault="00342F6F" w:rsidP="00D23EAD">
      <w:r>
        <w:tab/>
        <w:t xml:space="preserve">By far, hands-on experiences are the best learning and teaching tools that can be used in a classroom. For instance if a teacher is trying to teach about the anatomy of an organism, they could attempt to painstakingly explain what the various organs and structures look like, what they do, and how they function. Pictures in textbooks could be of assistance here, and videos or </w:t>
      </w:r>
      <w:proofErr w:type="spellStart"/>
      <w:r>
        <w:t>powerpoints</w:t>
      </w:r>
      <w:proofErr w:type="spellEnd"/>
      <w:r>
        <w:t xml:space="preserve"> would greatly enhance learning as well. Even with these technological additions to a lecture though, there is nothing that can beat the effectiveness of dissecting something on your own. When a student gets the opportunity to get out of their chair, do something with their hands, maybe</w:t>
      </w:r>
      <w:r w:rsidR="00067915">
        <w:t xml:space="preserve"> even something a little gross </w:t>
      </w:r>
      <w:r>
        <w:t>and always at least a little fun, that is when a student really becomes engaged with their work and has the best opportunity for learning the material.</w:t>
      </w:r>
      <w:r w:rsidR="00D23EAD">
        <w:t xml:space="preserve"> </w:t>
      </w:r>
    </w:p>
    <w:p w:rsidR="00067915" w:rsidRDefault="00067915" w:rsidP="00D23EAD"/>
    <w:p w:rsidR="00067915" w:rsidRPr="00BF368D" w:rsidRDefault="00067915" w:rsidP="00D23EAD">
      <w:pPr>
        <w:rPr>
          <w:i/>
        </w:rPr>
      </w:pPr>
      <w:r w:rsidRPr="00BF368D">
        <w:rPr>
          <w:i/>
        </w:rPr>
        <w:t>3. What is the most effective way knowledge can be structured to enhance learning?</w:t>
      </w:r>
    </w:p>
    <w:p w:rsidR="00067915" w:rsidRDefault="00067915" w:rsidP="00D23EAD"/>
    <w:p w:rsidR="00067915" w:rsidRDefault="00067915" w:rsidP="00D23EAD">
      <w:r>
        <w:tab/>
        <w:t xml:space="preserve">Though a teacher may be extremely knowledgeable in their subject area, they may not be effective teachers if they can’t communicate the material in a way that is understandable to the students. One good way to structure a complex concept, especially in science, is through the use of models. There are many different types of models, and most concepts have multiple models that explain certain aspects of the ultimate concept. </w:t>
      </w:r>
      <w:r w:rsidR="00873BB3">
        <w:t xml:space="preserve">Effective use of these models is very important, and often involves many models to get a wholesome understanding of the concept. </w:t>
      </w:r>
    </w:p>
    <w:p w:rsidR="00873BB3" w:rsidRDefault="00873BB3" w:rsidP="00D23EAD"/>
    <w:p w:rsidR="00873BB3" w:rsidRPr="00BF368D" w:rsidRDefault="00873BB3" w:rsidP="00873BB3">
      <w:pPr>
        <w:rPr>
          <w:i/>
        </w:rPr>
      </w:pPr>
      <w:r w:rsidRPr="00BF368D">
        <w:rPr>
          <w:i/>
        </w:rPr>
        <w:lastRenderedPageBreak/>
        <w:t>4. What is the most effective sequence in which to present a concept? (</w:t>
      </w:r>
      <w:proofErr w:type="gramStart"/>
      <w:r w:rsidRPr="00BF368D">
        <w:rPr>
          <w:i/>
        </w:rPr>
        <w:t>or</w:t>
      </w:r>
      <w:proofErr w:type="gramEnd"/>
      <w:r w:rsidRPr="00BF368D">
        <w:rPr>
          <w:i/>
        </w:rPr>
        <w:t xml:space="preserve"> structure a lesson or unit?  Should you teach concepts first, then do a lab, or do a lab then lecture, etc.?)</w:t>
      </w:r>
    </w:p>
    <w:p w:rsidR="00873BB3" w:rsidRDefault="00873BB3" w:rsidP="00873BB3"/>
    <w:p w:rsidR="00873BB3" w:rsidRDefault="00873BB3" w:rsidP="00873BB3">
      <w:r>
        <w:tab/>
        <w:t>When putting together a lesson plan for students, it’s important to know how much knowledge they already have on a certain topic. An important first step, then, is to give the students a pre-assessment. This could be a simple classroom discussion, a short quiz, or anything that gives an idea of what the students already know. Once you know where the students stand in their understanding of a concept and you’ve assembled a lesson that will challenge the students without completely losing them, you should try to encourage learning through exploration. Rather than telling students how something works and why it works that way, give them an activity that will draw those questions out of them, and use their natural curiosity to guide your lesson while still providing activities that will keep you on the trajectory that you need to maintain. This exploration could be in the form of a lab or another activity that will really engage the students. Only after this period of engagement and exploration should any sort of “lecture”</w:t>
      </w:r>
      <w:r w:rsidR="003C756F">
        <w:t xml:space="preserve"> take place, though it should be less of a monologue and more of a discussion. </w:t>
      </w:r>
    </w:p>
    <w:p w:rsidR="003C756F" w:rsidRDefault="003C756F" w:rsidP="00873BB3">
      <w:r>
        <w:tab/>
        <w:t xml:space="preserve">Even if you lead a student exactly to the thing that you want them to learn about, the act of discovering the topic is much more gratifying to the student than when a teacher simply provides the information in a point-blank way without the fostering of curiosity and exploration. </w:t>
      </w:r>
    </w:p>
    <w:p w:rsidR="003C756F" w:rsidRDefault="003C756F" w:rsidP="00873BB3"/>
    <w:p w:rsidR="003C756F" w:rsidRPr="00BF368D" w:rsidRDefault="003C756F" w:rsidP="00873BB3">
      <w:pPr>
        <w:rPr>
          <w:i/>
        </w:rPr>
      </w:pPr>
      <w:r w:rsidRPr="00BF368D">
        <w:rPr>
          <w:i/>
        </w:rPr>
        <w:t>5. What is the most effective way to get/give feedback and evaluate learning?</w:t>
      </w:r>
    </w:p>
    <w:p w:rsidR="003C756F" w:rsidRDefault="003C756F" w:rsidP="00873BB3"/>
    <w:p w:rsidR="003C756F" w:rsidRDefault="003C756F" w:rsidP="00873BB3">
      <w:r>
        <w:tab/>
        <w:t>I think that th</w:t>
      </w:r>
      <w:r w:rsidR="00BF368D">
        <w:t xml:space="preserve">e most effective way to get and give feedback </w:t>
      </w:r>
      <w:r>
        <w:t xml:space="preserve">would be through classroom discussions. This makes the students feel as though they have a voice in the classroom and their thoughts and opinions are really valued. Additionally, if a student sees his or her peers excelling and enjoying a topic or a discussion, he or she is more likely to get involved too. The positive peer pressure in a group like this can be very formative and important. </w:t>
      </w:r>
      <w:r w:rsidR="00BF368D">
        <w:t xml:space="preserve">In addition to these things, you as the teacher can get a feel for what the students know and what they understand of a topic, thus giving you an idea of what they already know and what you might need to work a little harder to help them understand. </w:t>
      </w:r>
    </w:p>
    <w:p w:rsidR="00BF368D" w:rsidRDefault="00BF368D" w:rsidP="00873BB3">
      <w:r>
        <w:tab/>
      </w:r>
    </w:p>
    <w:p w:rsidR="00C35ABC" w:rsidRDefault="00C35ABC" w:rsidP="00D23EAD"/>
    <w:p w:rsidR="000B3A7C" w:rsidRDefault="000B3A7C" w:rsidP="00D23EAD">
      <w:bookmarkStart w:id="0" w:name="_GoBack"/>
      <w:bookmarkEnd w:id="0"/>
    </w:p>
    <w:p w:rsidR="00C35ABC" w:rsidRDefault="00C35ABC" w:rsidP="00C35ABC">
      <w:r>
        <w:t xml:space="preserve">36 Week </w:t>
      </w:r>
      <w:r w:rsidR="005B493F">
        <w:t>Curriculum Tentative Plan</w:t>
      </w:r>
    </w:p>
    <w:p w:rsidR="000B3A7C" w:rsidRDefault="000B3A7C" w:rsidP="00C35AB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314"/>
      </w:tblGrid>
      <w:tr w:rsidR="000B3A7C" w:rsidRPr="00905BED" w:rsidTr="004118B8">
        <w:trPr>
          <w:jc w:val="center"/>
        </w:trPr>
        <w:tc>
          <w:tcPr>
            <w:tcW w:w="6219" w:type="dxa"/>
            <w:gridSpan w:val="2"/>
            <w:shd w:val="clear" w:color="auto" w:fill="auto"/>
          </w:tcPr>
          <w:p w:rsidR="000B3A7C" w:rsidRPr="00905BED" w:rsidRDefault="000B3A7C" w:rsidP="004118B8">
            <w:r w:rsidRPr="00905BED">
              <w:t xml:space="preserve">Science Course Name:  </w:t>
            </w:r>
            <w:r>
              <w:t>8</w:t>
            </w:r>
            <w:r w:rsidRPr="005B493F">
              <w:rPr>
                <w:vertAlign w:val="superscript"/>
              </w:rPr>
              <w:t>th</w:t>
            </w:r>
            <w:r>
              <w:t xml:space="preserve"> grade science</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Week</w:t>
            </w:r>
          </w:p>
        </w:tc>
        <w:tc>
          <w:tcPr>
            <w:tcW w:w="5314" w:type="dxa"/>
            <w:shd w:val="clear" w:color="auto" w:fill="auto"/>
          </w:tcPr>
          <w:p w:rsidR="000B3A7C" w:rsidRPr="00905BED" w:rsidRDefault="000B3A7C" w:rsidP="004118B8">
            <w:r w:rsidRPr="00905BED">
              <w:t xml:space="preserve">Science Content or Standard </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1</w:t>
            </w:r>
          </w:p>
        </w:tc>
        <w:tc>
          <w:tcPr>
            <w:tcW w:w="5314" w:type="dxa"/>
            <w:shd w:val="clear" w:color="auto" w:fill="auto"/>
          </w:tcPr>
          <w:p w:rsidR="000B3A7C" w:rsidRPr="00905BED" w:rsidRDefault="000B3A7C" w:rsidP="004118B8">
            <w:r>
              <w:t>PS – Density</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2</w:t>
            </w:r>
          </w:p>
        </w:tc>
        <w:tc>
          <w:tcPr>
            <w:tcW w:w="5314" w:type="dxa"/>
            <w:shd w:val="clear" w:color="auto" w:fill="auto"/>
          </w:tcPr>
          <w:p w:rsidR="000B3A7C" w:rsidRPr="00905BED" w:rsidRDefault="000B3A7C" w:rsidP="004118B8">
            <w:r>
              <w:t>PS – Atoms &amp; Subatomic particles</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3</w:t>
            </w:r>
          </w:p>
        </w:tc>
        <w:tc>
          <w:tcPr>
            <w:tcW w:w="5314" w:type="dxa"/>
            <w:shd w:val="clear" w:color="auto" w:fill="auto"/>
          </w:tcPr>
          <w:p w:rsidR="000B3A7C" w:rsidRPr="00905BED" w:rsidRDefault="000B3A7C" w:rsidP="004118B8">
            <w:r>
              <w:t>PS – Atomic arrangement, atoms, elements, compounds, molecules</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4</w:t>
            </w:r>
          </w:p>
        </w:tc>
        <w:tc>
          <w:tcPr>
            <w:tcW w:w="5314" w:type="dxa"/>
            <w:shd w:val="clear" w:color="auto" w:fill="auto"/>
          </w:tcPr>
          <w:p w:rsidR="000B3A7C" w:rsidRPr="00905BED" w:rsidRDefault="000B3A7C" w:rsidP="004118B8">
            <w:r>
              <w:t>ESS – Geology, Rocks</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lastRenderedPageBreak/>
              <w:t>5</w:t>
            </w:r>
          </w:p>
        </w:tc>
        <w:tc>
          <w:tcPr>
            <w:tcW w:w="5314" w:type="dxa"/>
            <w:shd w:val="clear" w:color="auto" w:fill="auto"/>
          </w:tcPr>
          <w:p w:rsidR="000B3A7C" w:rsidRPr="00905BED" w:rsidRDefault="000B3A7C" w:rsidP="004118B8">
            <w:r>
              <w:t>PS – The periodic table (Protons, neutrons, electrons, atomic mass, atomic #, symbols)</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6</w:t>
            </w:r>
          </w:p>
        </w:tc>
        <w:tc>
          <w:tcPr>
            <w:tcW w:w="5314" w:type="dxa"/>
            <w:shd w:val="clear" w:color="auto" w:fill="auto"/>
          </w:tcPr>
          <w:p w:rsidR="000B3A7C" w:rsidRPr="00905BED" w:rsidRDefault="000B3A7C" w:rsidP="004118B8">
            <w:r>
              <w:t>PS – Organization of the periodic table (radius, atomic #, atomic mass, properties, radioactivity)</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7</w:t>
            </w:r>
          </w:p>
        </w:tc>
        <w:tc>
          <w:tcPr>
            <w:tcW w:w="5314" w:type="dxa"/>
            <w:shd w:val="clear" w:color="auto" w:fill="auto"/>
          </w:tcPr>
          <w:p w:rsidR="000B3A7C" w:rsidRPr="00905BED" w:rsidRDefault="000B3A7C" w:rsidP="004118B8">
            <w:r>
              <w:t>PS – Balancing chemical equations (Law of Conservation of Mass)</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8</w:t>
            </w:r>
          </w:p>
        </w:tc>
        <w:tc>
          <w:tcPr>
            <w:tcW w:w="5314" w:type="dxa"/>
            <w:shd w:val="clear" w:color="auto" w:fill="auto"/>
          </w:tcPr>
          <w:p w:rsidR="000B3A7C" w:rsidRPr="00905BED" w:rsidRDefault="000B3A7C" w:rsidP="004118B8">
            <w:r>
              <w:t>PS – Physical change vs. Chemical change</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9</w:t>
            </w:r>
          </w:p>
        </w:tc>
        <w:tc>
          <w:tcPr>
            <w:tcW w:w="5314" w:type="dxa"/>
            <w:shd w:val="clear" w:color="auto" w:fill="auto"/>
          </w:tcPr>
          <w:p w:rsidR="000B3A7C" w:rsidRPr="00905BED" w:rsidRDefault="000B3A7C" w:rsidP="004118B8">
            <w:r>
              <w:t xml:space="preserve">E – Identifying criteria &amp; constraints of designs to ensure safety of </w:t>
            </w:r>
            <w:proofErr w:type="spellStart"/>
            <w:r>
              <w:t>ppl</w:t>
            </w:r>
            <w:proofErr w:type="spellEnd"/>
            <w:r>
              <w:t xml:space="preserve"> &amp; environment</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10</w:t>
            </w:r>
          </w:p>
        </w:tc>
        <w:tc>
          <w:tcPr>
            <w:tcW w:w="5314" w:type="dxa"/>
            <w:shd w:val="clear" w:color="auto" w:fill="auto"/>
          </w:tcPr>
          <w:p w:rsidR="000B3A7C" w:rsidRPr="00905BED" w:rsidRDefault="000B3A7C" w:rsidP="004118B8">
            <w:r>
              <w:t>E – Analyzing data</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11</w:t>
            </w:r>
          </w:p>
        </w:tc>
        <w:tc>
          <w:tcPr>
            <w:tcW w:w="5314" w:type="dxa"/>
            <w:shd w:val="clear" w:color="auto" w:fill="auto"/>
          </w:tcPr>
          <w:p w:rsidR="000B3A7C" w:rsidRPr="00905BED" w:rsidRDefault="000B3A7C" w:rsidP="004118B8">
            <w:r>
              <w:t>E – Using data analysis to find best parts of designs and combine to meet criteria</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12</w:t>
            </w:r>
          </w:p>
        </w:tc>
        <w:tc>
          <w:tcPr>
            <w:tcW w:w="5314" w:type="dxa"/>
            <w:shd w:val="clear" w:color="auto" w:fill="auto"/>
          </w:tcPr>
          <w:p w:rsidR="000B3A7C" w:rsidRPr="00905BED" w:rsidRDefault="000B3A7C" w:rsidP="004118B8">
            <w:r>
              <w:t>E – Evaluating competing designs based on meeting criteria of the project</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13</w:t>
            </w:r>
          </w:p>
        </w:tc>
        <w:tc>
          <w:tcPr>
            <w:tcW w:w="5314" w:type="dxa"/>
            <w:shd w:val="clear" w:color="auto" w:fill="auto"/>
          </w:tcPr>
          <w:p w:rsidR="000B3A7C" w:rsidRPr="00905BED" w:rsidRDefault="000B3A7C" w:rsidP="004118B8">
            <w:r>
              <w:t>E – Comparing designs based on data analysis</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14</w:t>
            </w:r>
          </w:p>
        </w:tc>
        <w:tc>
          <w:tcPr>
            <w:tcW w:w="5314" w:type="dxa"/>
            <w:shd w:val="clear" w:color="auto" w:fill="auto"/>
          </w:tcPr>
          <w:p w:rsidR="000B3A7C" w:rsidRPr="00905BED" w:rsidRDefault="000B3A7C" w:rsidP="004118B8">
            <w:r>
              <w:t>E – Designing structures</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15</w:t>
            </w:r>
          </w:p>
        </w:tc>
        <w:tc>
          <w:tcPr>
            <w:tcW w:w="5314" w:type="dxa"/>
            <w:shd w:val="clear" w:color="auto" w:fill="auto"/>
          </w:tcPr>
          <w:p w:rsidR="000B3A7C" w:rsidRPr="00905BED" w:rsidRDefault="000B3A7C" w:rsidP="004118B8">
            <w:r>
              <w:t>E – Project week design</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16</w:t>
            </w:r>
          </w:p>
        </w:tc>
        <w:tc>
          <w:tcPr>
            <w:tcW w:w="5314" w:type="dxa"/>
            <w:shd w:val="clear" w:color="auto" w:fill="auto"/>
          </w:tcPr>
          <w:p w:rsidR="000B3A7C" w:rsidRPr="00905BED" w:rsidRDefault="000B3A7C" w:rsidP="004118B8">
            <w:r>
              <w:t>E – Project work / creation / test week</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17</w:t>
            </w:r>
          </w:p>
        </w:tc>
        <w:tc>
          <w:tcPr>
            <w:tcW w:w="5314" w:type="dxa"/>
            <w:shd w:val="clear" w:color="auto" w:fill="auto"/>
          </w:tcPr>
          <w:p w:rsidR="000B3A7C" w:rsidRPr="00905BED" w:rsidRDefault="000B3A7C" w:rsidP="004118B8">
            <w:r>
              <w:t>E – Project presentation week</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18</w:t>
            </w:r>
          </w:p>
        </w:tc>
        <w:tc>
          <w:tcPr>
            <w:tcW w:w="5314" w:type="dxa"/>
            <w:shd w:val="clear" w:color="auto" w:fill="auto"/>
          </w:tcPr>
          <w:p w:rsidR="000B3A7C" w:rsidRPr="00905BED" w:rsidRDefault="000B3A7C" w:rsidP="004118B8">
            <w:r>
              <w:t>Catch up or free week</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19</w:t>
            </w:r>
          </w:p>
        </w:tc>
        <w:tc>
          <w:tcPr>
            <w:tcW w:w="5314" w:type="dxa"/>
            <w:shd w:val="clear" w:color="auto" w:fill="auto"/>
          </w:tcPr>
          <w:p w:rsidR="000B3A7C" w:rsidRPr="00905BED" w:rsidRDefault="000B3A7C" w:rsidP="004118B8">
            <w:r>
              <w:t>LS – Viruses and bacteria in the human body</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20</w:t>
            </w:r>
          </w:p>
        </w:tc>
        <w:tc>
          <w:tcPr>
            <w:tcW w:w="5314" w:type="dxa"/>
            <w:shd w:val="clear" w:color="auto" w:fill="auto"/>
          </w:tcPr>
          <w:p w:rsidR="000B3A7C" w:rsidRPr="00905BED" w:rsidRDefault="000B3A7C" w:rsidP="004118B8">
            <w:r>
              <w:t xml:space="preserve">LS – Evolutionary relationships, fossils &amp; modern </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21</w:t>
            </w:r>
          </w:p>
        </w:tc>
        <w:tc>
          <w:tcPr>
            <w:tcW w:w="5314" w:type="dxa"/>
            <w:shd w:val="clear" w:color="auto" w:fill="auto"/>
          </w:tcPr>
          <w:p w:rsidR="000B3A7C" w:rsidRPr="00905BED" w:rsidRDefault="000B3A7C" w:rsidP="004118B8">
            <w:r>
              <w:t>LS – Advantageous traits, natural selection</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22</w:t>
            </w:r>
          </w:p>
        </w:tc>
        <w:tc>
          <w:tcPr>
            <w:tcW w:w="5314" w:type="dxa"/>
            <w:shd w:val="clear" w:color="auto" w:fill="auto"/>
          </w:tcPr>
          <w:p w:rsidR="000B3A7C" w:rsidRPr="00905BED" w:rsidRDefault="000B3A7C" w:rsidP="004118B8">
            <w:r>
              <w:t>LS – Acquired and inherited traits</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23</w:t>
            </w:r>
          </w:p>
        </w:tc>
        <w:tc>
          <w:tcPr>
            <w:tcW w:w="5314" w:type="dxa"/>
            <w:shd w:val="clear" w:color="auto" w:fill="auto"/>
          </w:tcPr>
          <w:p w:rsidR="000B3A7C" w:rsidRPr="00905BED" w:rsidRDefault="000B3A7C" w:rsidP="004118B8">
            <w:r>
              <w:t>LS – Natural selection, viability</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24</w:t>
            </w:r>
          </w:p>
        </w:tc>
        <w:tc>
          <w:tcPr>
            <w:tcW w:w="5314" w:type="dxa"/>
            <w:shd w:val="clear" w:color="auto" w:fill="auto"/>
          </w:tcPr>
          <w:p w:rsidR="000B3A7C" w:rsidRPr="00905BED" w:rsidRDefault="000B3A7C" w:rsidP="004118B8">
            <w:r>
              <w:t>LS – Taxonomy, scientific names</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25</w:t>
            </w:r>
          </w:p>
        </w:tc>
        <w:tc>
          <w:tcPr>
            <w:tcW w:w="5314" w:type="dxa"/>
            <w:shd w:val="clear" w:color="auto" w:fill="auto"/>
          </w:tcPr>
          <w:p w:rsidR="000B3A7C" w:rsidRPr="00905BED" w:rsidRDefault="000B3A7C" w:rsidP="004118B8">
            <w:r>
              <w:t>LS – Organismal growth &amp; development</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26</w:t>
            </w:r>
          </w:p>
        </w:tc>
        <w:tc>
          <w:tcPr>
            <w:tcW w:w="5314" w:type="dxa"/>
            <w:shd w:val="clear" w:color="auto" w:fill="auto"/>
          </w:tcPr>
          <w:p w:rsidR="000B3A7C" w:rsidRPr="00905BED" w:rsidRDefault="000B3A7C" w:rsidP="004118B8">
            <w:r>
              <w:t>LS – Meiosis, Cell growth</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27</w:t>
            </w:r>
          </w:p>
        </w:tc>
        <w:tc>
          <w:tcPr>
            <w:tcW w:w="5314" w:type="dxa"/>
            <w:shd w:val="clear" w:color="auto" w:fill="auto"/>
          </w:tcPr>
          <w:p w:rsidR="000B3A7C" w:rsidRPr="00905BED" w:rsidRDefault="000B3A7C" w:rsidP="004118B8">
            <w:r>
              <w:t>LS – Sexual &amp; asexual reproduction, gene transfer</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28</w:t>
            </w:r>
          </w:p>
        </w:tc>
        <w:tc>
          <w:tcPr>
            <w:tcW w:w="5314" w:type="dxa"/>
            <w:shd w:val="clear" w:color="auto" w:fill="auto"/>
          </w:tcPr>
          <w:p w:rsidR="000B3A7C" w:rsidRPr="00905BED" w:rsidRDefault="000B3A7C" w:rsidP="004118B8">
            <w:r>
              <w:t>LS – Punnett squares, probability of inheritance</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29</w:t>
            </w:r>
          </w:p>
        </w:tc>
        <w:tc>
          <w:tcPr>
            <w:tcW w:w="5314" w:type="dxa"/>
            <w:shd w:val="clear" w:color="auto" w:fill="auto"/>
          </w:tcPr>
          <w:p w:rsidR="000B3A7C" w:rsidRPr="00905BED" w:rsidRDefault="000B3A7C" w:rsidP="004118B8">
            <w:r>
              <w:t>LS – Models of DNA, alleles, genes, chromatids, chromosomes, chromatin. Relation &amp; diff</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30</w:t>
            </w:r>
          </w:p>
        </w:tc>
        <w:tc>
          <w:tcPr>
            <w:tcW w:w="5314" w:type="dxa"/>
            <w:shd w:val="clear" w:color="auto" w:fill="auto"/>
          </w:tcPr>
          <w:p w:rsidR="000B3A7C" w:rsidRPr="00905BED" w:rsidRDefault="000B3A7C" w:rsidP="004118B8">
            <w:r>
              <w:t>LS – Genetic modification by humans</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31</w:t>
            </w:r>
          </w:p>
        </w:tc>
        <w:tc>
          <w:tcPr>
            <w:tcW w:w="5314" w:type="dxa"/>
            <w:shd w:val="clear" w:color="auto" w:fill="auto"/>
          </w:tcPr>
          <w:p w:rsidR="000B3A7C" w:rsidRPr="00905BED" w:rsidRDefault="000B3A7C" w:rsidP="004118B8">
            <w:r>
              <w:t>ESS – The energy cycle, water cycle, food webs</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32</w:t>
            </w:r>
          </w:p>
        </w:tc>
        <w:tc>
          <w:tcPr>
            <w:tcW w:w="5314" w:type="dxa"/>
            <w:shd w:val="clear" w:color="auto" w:fill="auto"/>
          </w:tcPr>
          <w:p w:rsidR="000B3A7C" w:rsidRPr="00905BED" w:rsidRDefault="000B3A7C" w:rsidP="004118B8">
            <w:r>
              <w:t>ESS – Resource consumption and human impact</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33</w:t>
            </w:r>
          </w:p>
        </w:tc>
        <w:tc>
          <w:tcPr>
            <w:tcW w:w="5314" w:type="dxa"/>
            <w:shd w:val="clear" w:color="auto" w:fill="auto"/>
          </w:tcPr>
          <w:p w:rsidR="000B3A7C" w:rsidRPr="00905BED" w:rsidRDefault="000B3A7C" w:rsidP="004118B8">
            <w:r>
              <w:t>ESS – Pollution (air, water, soil, light, noise)</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34</w:t>
            </w:r>
          </w:p>
        </w:tc>
        <w:tc>
          <w:tcPr>
            <w:tcW w:w="5314" w:type="dxa"/>
            <w:shd w:val="clear" w:color="auto" w:fill="auto"/>
          </w:tcPr>
          <w:p w:rsidR="000B3A7C" w:rsidRPr="00905BED" w:rsidRDefault="000B3A7C" w:rsidP="004118B8">
            <w:r>
              <w:t>ESS – Historical global temps, climate change</w:t>
            </w:r>
          </w:p>
        </w:tc>
      </w:tr>
      <w:tr w:rsidR="000B3A7C" w:rsidRPr="00905BED" w:rsidTr="004118B8">
        <w:trPr>
          <w:jc w:val="center"/>
        </w:trPr>
        <w:tc>
          <w:tcPr>
            <w:tcW w:w="905" w:type="dxa"/>
            <w:shd w:val="clear" w:color="auto" w:fill="auto"/>
          </w:tcPr>
          <w:p w:rsidR="000B3A7C" w:rsidRPr="00905BED" w:rsidRDefault="000B3A7C" w:rsidP="004118B8">
            <w:pPr>
              <w:jc w:val="center"/>
            </w:pPr>
            <w:r w:rsidRPr="00905BED">
              <w:t>35</w:t>
            </w:r>
          </w:p>
        </w:tc>
        <w:tc>
          <w:tcPr>
            <w:tcW w:w="5314" w:type="dxa"/>
            <w:shd w:val="clear" w:color="auto" w:fill="auto"/>
          </w:tcPr>
          <w:p w:rsidR="000B3A7C" w:rsidRPr="00905BED" w:rsidRDefault="000B3A7C" w:rsidP="004118B8">
            <w:r>
              <w:t>ESS – Geography, map-reading, GPS</w:t>
            </w:r>
          </w:p>
        </w:tc>
      </w:tr>
      <w:tr w:rsidR="000B3A7C" w:rsidRPr="00905BED" w:rsidTr="004118B8">
        <w:trPr>
          <w:trHeight w:val="125"/>
          <w:jc w:val="center"/>
        </w:trPr>
        <w:tc>
          <w:tcPr>
            <w:tcW w:w="905" w:type="dxa"/>
            <w:shd w:val="clear" w:color="auto" w:fill="auto"/>
          </w:tcPr>
          <w:p w:rsidR="000B3A7C" w:rsidRPr="00905BED" w:rsidRDefault="000B3A7C" w:rsidP="004118B8">
            <w:pPr>
              <w:jc w:val="center"/>
            </w:pPr>
            <w:r w:rsidRPr="00905BED">
              <w:t>36</w:t>
            </w:r>
          </w:p>
        </w:tc>
        <w:tc>
          <w:tcPr>
            <w:tcW w:w="5314" w:type="dxa"/>
            <w:shd w:val="clear" w:color="auto" w:fill="auto"/>
          </w:tcPr>
          <w:p w:rsidR="000B3A7C" w:rsidRPr="00905BED" w:rsidRDefault="000B3A7C" w:rsidP="004118B8">
            <w:pPr>
              <w:tabs>
                <w:tab w:val="center" w:pos="2549"/>
                <w:tab w:val="left" w:pos="4005"/>
              </w:tabs>
            </w:pPr>
            <w:r>
              <w:t>Catch up or free week</w:t>
            </w:r>
          </w:p>
        </w:tc>
      </w:tr>
    </w:tbl>
    <w:p w:rsidR="000B3A7C" w:rsidRDefault="000B3A7C" w:rsidP="00C35ABC"/>
    <w:p w:rsidR="00C35ABC" w:rsidRDefault="00C35ABC" w:rsidP="00D23EAD"/>
    <w:sectPr w:rsidR="00C35AB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E9376A"/>
    <w:multiLevelType w:val="hybridMultilevel"/>
    <w:tmpl w:val="0C46377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7E183B57"/>
    <w:multiLevelType w:val="hybridMultilevel"/>
    <w:tmpl w:val="9B9E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EAD"/>
    <w:rsid w:val="00015DF4"/>
    <w:rsid w:val="00024433"/>
    <w:rsid w:val="00067915"/>
    <w:rsid w:val="000B3A7C"/>
    <w:rsid w:val="00172DBB"/>
    <w:rsid w:val="0024229C"/>
    <w:rsid w:val="00342F6F"/>
    <w:rsid w:val="003C756F"/>
    <w:rsid w:val="004D34F5"/>
    <w:rsid w:val="005B493F"/>
    <w:rsid w:val="00662480"/>
    <w:rsid w:val="0072752E"/>
    <w:rsid w:val="00873BB3"/>
    <w:rsid w:val="00A51DBC"/>
    <w:rsid w:val="00BF368D"/>
    <w:rsid w:val="00C35ABC"/>
    <w:rsid w:val="00D23EAD"/>
    <w:rsid w:val="00E52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639D4E-F00F-4736-98C5-02FAE032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Richard</dc:creator>
  <cp:keywords/>
  <dc:description/>
  <cp:lastModifiedBy>Richard, Cassidy V</cp:lastModifiedBy>
  <cp:revision>3</cp:revision>
  <dcterms:created xsi:type="dcterms:W3CDTF">2016-05-31T16:49:00Z</dcterms:created>
  <dcterms:modified xsi:type="dcterms:W3CDTF">2016-07-14T14:12:00Z</dcterms:modified>
</cp:coreProperties>
</file>